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</w:pPr>
      <w:r>
        <w:t>各省、自治区、直辖市林业厅（局），内蒙古、吉林、龙江、大兴安岭森工（林业）集团公司，新疆生产建设兵团林业局，国家林业局各直属林业调查规划设计院：</w:t>
      </w:r>
      <w:r>
        <w:br w:type="textWrapping"/>
      </w:r>
      <w:r>
        <w:t>    为了加强全国林业数表管理，规范林业数表的编制、颁布和修订工作，我局研究制定了《林业数表管理办法》，现印发给你们，请遵照执行，并将执行中的情况及时反馈我局森林资源管理司。</w:t>
      </w:r>
      <w:r>
        <w:br w:type="textWrapping"/>
      </w:r>
      <w:r>
        <w:t>    特此通知。</w:t>
      </w:r>
    </w:p>
    <w:p>
      <w:pPr>
        <w:pStyle w:val="3"/>
        <w:keepNext w:val="0"/>
        <w:keepLines w:val="0"/>
        <w:widowControl/>
        <w:suppressLineNumbers w:val="0"/>
      </w:pPr>
      <w:r>
        <w:t>附件：林业数表管理办法</w:t>
      </w:r>
    </w:p>
    <w:p>
      <w:pPr>
        <w:pStyle w:val="3"/>
        <w:keepNext w:val="0"/>
        <w:keepLines w:val="0"/>
        <w:widowControl/>
        <w:suppressLineNumbers w:val="0"/>
      </w:pPr>
      <w:r>
        <w:t>                                                               二〇一一年四月十三日</w:t>
      </w:r>
      <w:r>
        <w:br w:type="textWrapping"/>
      </w:r>
      <w:r>
        <w:br w:type="textWrapping"/>
      </w:r>
      <w:r>
        <w:br w:type="textWrapping"/>
      </w:r>
      <w:r>
        <w:t>附件</w:t>
      </w:r>
    </w:p>
    <w:p>
      <w:pPr>
        <w:pStyle w:val="3"/>
        <w:keepNext w:val="0"/>
        <w:keepLines w:val="0"/>
        <w:widowControl/>
        <w:suppressLineNumbers w:val="0"/>
        <w:jc w:val="center"/>
      </w:pPr>
      <w:bookmarkStart w:id="0" w:name="_GoBack"/>
      <w:r>
        <w:t>林业数表管理办法</w:t>
      </w:r>
    </w:p>
    <w:bookmarkEnd w:id="0"/>
    <w:p>
      <w:pPr>
        <w:pStyle w:val="3"/>
        <w:keepNext w:val="0"/>
        <w:keepLines w:val="0"/>
        <w:widowControl/>
        <w:suppressLineNumbers w:val="0"/>
      </w:pPr>
      <w:r>
        <w:t>    第一条  为了加强和规范林业数表管理，发挥林业数表在林业和经济社会中的计量、评价作用，制定本办法。</w:t>
      </w:r>
      <w:r>
        <w:br w:type="textWrapping"/>
      </w:r>
      <w:r>
        <w:t>    第二条  本办法所指林业数表的范围，包括用于森林贮量及产品计量、森林生态服务功能计量、森林质量评价和森林经营指导的数学模型、数值表格和图形图像等。</w:t>
      </w:r>
      <w:r>
        <w:br w:type="textWrapping"/>
      </w:r>
      <w:r>
        <w:t>    第三条  林业数表的编制、颁布和修订，应当遵循本办法，并按照《全国林业数表体系建设导则》要求开展相关工作。</w:t>
      </w:r>
      <w:r>
        <w:br w:type="textWrapping"/>
      </w:r>
      <w:r>
        <w:t>    第四条  国家林业局负责全国林业数表工作的管理和监督，并负责组织主要树种二元立木材积表、二元立木生物量表、二元立木出材率（量）表、原条材积表、原木材积表的编制、颁布和修订工作。</w:t>
      </w:r>
      <w:r>
        <w:br w:type="textWrapping"/>
      </w:r>
      <w:r>
        <w:t>    各省级林业主管部门负责辖区内其他林业数表的编制、颁布、修订和管理。</w:t>
      </w:r>
      <w:r>
        <w:br w:type="textWrapping"/>
      </w:r>
      <w:r>
        <w:t>    第五条  二元立木材积表、二元立木生物量表、二元立木出材率（量）表、原条材积表、原木材积表等，应当按照标准化工作有关规定，纳入国家或者行业标准体系。其他林业数表应当纳入行业或者地方标准体系。</w:t>
      </w:r>
      <w:r>
        <w:br w:type="textWrapping"/>
      </w:r>
      <w:r>
        <w:t>    第六条  二元立木材积表、二元立木生物量表、二元立木出材率（量）表、原条材积表、原木材积表的编制和修订，应当由具有甲级林业调查规划设计资质的单位承担。</w:t>
      </w:r>
      <w:r>
        <w:br w:type="textWrapping"/>
      </w:r>
      <w:r>
        <w:t>    森林经营数表的编制和修订，应当由具有丙级以上林业调查规划设计资质的单位承担。</w:t>
      </w:r>
      <w:r>
        <w:br w:type="textWrapping"/>
      </w:r>
      <w:r>
        <w:t>    其他林业数表的编制和修订，应当由具有乙级以上林业调查规划设计资质的单位承担。</w:t>
      </w:r>
      <w:r>
        <w:br w:type="textWrapping"/>
      </w:r>
      <w:r>
        <w:t>    第七条  林业数表编制和修订的承担单位，对林业数表质量和采集、使用的基础数据负责。</w:t>
      </w:r>
      <w:r>
        <w:br w:type="textWrapping"/>
      </w:r>
      <w:r>
        <w:t>    第八条  省级以上林业主管部门应当设立林业数表专家委员会，专家委员会人数7—20人。</w:t>
      </w:r>
      <w:r>
        <w:br w:type="textWrapping"/>
      </w:r>
      <w:r>
        <w:t>林业数表专家委员会主要承担林业数表编制和修订的技术指导、咨询和成果审查，以及林业主管部门委托的相关技术工作。</w:t>
      </w:r>
      <w:r>
        <w:br w:type="textWrapping"/>
      </w:r>
      <w:r>
        <w:t xml:space="preserve">    省级林业主管部门应当将专家委员会人员名单报国家林业局备案。   </w:t>
      </w:r>
      <w:r>
        <w:br w:type="textWrapping"/>
      </w:r>
      <w:r>
        <w:t>    第九条  林业数表编制和修订的技术方法，应当执行国家相应的技术标准或规定。国家尚未规定的，由林业数表专家委员会确定。</w:t>
      </w:r>
      <w:r>
        <w:br w:type="textWrapping"/>
      </w:r>
      <w:r>
        <w:t xml:space="preserve">    第十条  林业数表编制完成后，由省级以上林业主管部门组织林业数表专家委员会进行审查。审查形成的书面意见，由林业数表专家委员会主任委员签字。参加审查的委员不少于7人。 </w:t>
      </w:r>
      <w:r>
        <w:br w:type="textWrapping"/>
      </w:r>
      <w:r>
        <w:t>    第十一条 林业数表编制成果送审材料包括：</w:t>
      </w:r>
      <w:r>
        <w:br w:type="textWrapping"/>
      </w:r>
      <w:r>
        <w:t>    （一）编制的林业数表。</w:t>
      </w:r>
      <w:r>
        <w:br w:type="textWrapping"/>
      </w:r>
      <w:r>
        <w:t>    （二）工作报告和技术报告。其中，技术报告需要说明编表范围、数据采集、数据处理、编表数据、建模方法、模型参数、模型检验和评价指标，以及数表使用范围和注意事项等。</w:t>
      </w:r>
      <w:r>
        <w:br w:type="textWrapping"/>
      </w:r>
      <w:r>
        <w:t>    （三）基础数据。包括采集的样木、样地原始数据和直接用于编表的数据。</w:t>
      </w:r>
      <w:r>
        <w:br w:type="textWrapping"/>
      </w:r>
      <w:r>
        <w:t>    （四）其他需要报告的材料。</w:t>
      </w:r>
      <w:r>
        <w:br w:type="textWrapping"/>
      </w:r>
      <w:r>
        <w:t>    第十二条  省级以上林业主管部门根据专家委员会的审查意见，对通过审查的林业数表予以颁布，并在网站上予以公布。</w:t>
      </w:r>
      <w:r>
        <w:br w:type="textWrapping"/>
      </w:r>
      <w:r>
        <w:t>    第十三条  省级以上林业主管部门应当定期组织开展林业数表的适用性检验。</w:t>
      </w:r>
      <w:r>
        <w:br w:type="textWrapping"/>
      </w:r>
      <w:r>
        <w:t>    使用期限超过20年的林业数表，或者数表编制对象的总体特征发生显著变化的，应当组织适用性检验。</w:t>
      </w:r>
      <w:r>
        <w:br w:type="textWrapping"/>
      </w:r>
      <w:r>
        <w:t>    第十四条  经适用性检验，林业数表使用误差在允许误差内的，可以继续使用；在允许误差1-3倍内的，应当进行修订；大于3倍的，应当重新编制。</w:t>
      </w:r>
      <w:r>
        <w:br w:type="textWrapping"/>
      </w:r>
      <w:r>
        <w:t>    经修订和重新编制的林业数表，按照本办法第十、十一、十二条的规定审查颁布。</w:t>
      </w:r>
      <w:r>
        <w:br w:type="textWrapping"/>
      </w:r>
      <w:r>
        <w:t>    第十五条  省级林业主管部门应当根据本办法，制定本辖区的实施办法。</w:t>
      </w:r>
      <w:r>
        <w:br w:type="textWrapping"/>
      </w:r>
      <w:r>
        <w:t>    第十六条  本办法由国家林业局负责解释。</w:t>
      </w:r>
      <w:r>
        <w:br w:type="textWrapping"/>
      </w:r>
      <w:r>
        <w:t>    第十七条  本办法自印发之日起实施。</w:t>
      </w:r>
    </w:p>
    <w:p/>
    <w:sectPr>
      <w:endnotePr>
        <w:numFmt w:val="decimal"/>
      </w:endnotePr>
      <w:pgSz w:w="11906" w:h="16838"/>
      <w:pgMar w:top="1587" w:right="1474" w:bottom="1474" w:left="1587" w:header="851" w:footer="992" w:gutter="0"/>
      <w:pgNumType w:start="1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Narrow">
    <w:altName w:val="Arial"/>
    <w:panose1 w:val="020B0606020202030204"/>
    <w:charset w:val="01"/>
    <w:family w:val="auto"/>
    <w:pitch w:val="default"/>
    <w:sig w:usb0="00000000" w:usb1="00000000" w:usb2="00000000" w:usb3="00000000" w:csb0="2000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隶变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gutterAtTop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8790225"/>
    <w:rsid w:val="2BA06923"/>
    <w:rsid w:val="3321013C"/>
    <w:rsid w:val="569E3DFA"/>
    <w:rsid w:val="5B9C1658"/>
    <w:rsid w:val="64526A03"/>
    <w:rsid w:val="64F76660"/>
    <w:rsid w:val="735A34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theme="minorBidi"/>
      <w:kern w:val="2"/>
      <w:sz w:val="28"/>
      <w:lang w:val="en-US" w:eastAsia="zh-CN" w:bidi="ar-SA"/>
    </w:rPr>
  </w:style>
  <w:style w:type="paragraph" w:styleId="2">
    <w:name w:val="heading 2"/>
    <w:basedOn w:val="1"/>
    <w:next w:val="1"/>
    <w:link w:val="13"/>
    <w:unhideWhenUsed/>
    <w:qFormat/>
    <w:uiPriority w:val="0"/>
    <w:pPr>
      <w:keepNext/>
      <w:keepLines/>
      <w:spacing w:before="100" w:beforeLines="100" w:after="100" w:afterLines="100" w:line="360" w:lineRule="auto"/>
      <w:outlineLvl w:val="1"/>
    </w:pPr>
    <w:rPr>
      <w:rFonts w:ascii="Arial" w:hAnsi="Arial" w:eastAsia="黑体"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6A6A6A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Variable"/>
    <w:basedOn w:val="4"/>
    <w:uiPriority w:val="0"/>
  </w:style>
  <w:style w:type="character" w:styleId="9">
    <w:name w:val="Hyperlink"/>
    <w:basedOn w:val="4"/>
    <w:uiPriority w:val="0"/>
    <w:rPr>
      <w:color w:val="6A6A6A"/>
      <w:u w:val="none"/>
    </w:rPr>
  </w:style>
  <w:style w:type="character" w:styleId="10">
    <w:name w:val="HTML Code"/>
    <w:basedOn w:val="4"/>
    <w:uiPriority w:val="0"/>
    <w:rPr>
      <w:rFonts w:ascii="Courier New" w:hAnsi="Courier New"/>
      <w:sz w:val="20"/>
    </w:rPr>
  </w:style>
  <w:style w:type="character" w:styleId="11">
    <w:name w:val="HTML Cite"/>
    <w:basedOn w:val="4"/>
    <w:uiPriority w:val="0"/>
  </w:style>
  <w:style w:type="character" w:customStyle="1" w:styleId="13">
    <w:name w:val="标题 2 Char"/>
    <w:link w:val="2"/>
    <w:qFormat/>
    <w:uiPriority w:val="0"/>
    <w:rPr>
      <w:rFonts w:ascii="Arial" w:hAnsi="Arial" w:eastAsia="黑体"/>
      <w:bCs/>
      <w:sz w:val="32"/>
      <w:szCs w:val="32"/>
    </w:rPr>
  </w:style>
  <w:style w:type="paragraph" w:customStyle="1" w:styleId="14">
    <w:name w:val="样式1"/>
    <w:basedOn w:val="1"/>
    <w:qFormat/>
    <w:uiPriority w:val="0"/>
    <w:pPr>
      <w:ind w:firstLine="0" w:firstLineChars="0"/>
    </w:pPr>
    <w:rPr>
      <w:rFonts w:asciiTheme="minorAscii" w:hAnsiTheme="minorAscii"/>
    </w:rPr>
  </w:style>
  <w:style w:type="paragraph" w:customStyle="1" w:styleId="15">
    <w:name w:val="样式2"/>
    <w:basedOn w:val="1"/>
    <w:qFormat/>
    <w:uiPriority w:val="0"/>
    <w:pPr>
      <w:ind w:firstLine="0" w:firstLineChars="0"/>
    </w:pPr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从未止步1400656009</cp:lastModifiedBy>
  <dcterms:modified xsi:type="dcterms:W3CDTF">2018-01-10T07:33:15Z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